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2691" w:type="dxa"/>
        <w:tblLook w:val="04A0"/>
      </w:tblPr>
      <w:tblGrid>
        <w:gridCol w:w="2531"/>
        <w:gridCol w:w="1809"/>
        <w:gridCol w:w="2900"/>
      </w:tblGrid>
      <w:tr w:rsidR="00CF13CE" w:rsidTr="00AF204C">
        <w:trPr>
          <w:trHeight w:val="1425"/>
          <w:jc w:val="center"/>
        </w:trPr>
        <w:tc>
          <w:tcPr>
            <w:tcW w:w="2531" w:type="dxa"/>
          </w:tcPr>
          <w:p w:rsidR="00CF13CE" w:rsidRDefault="00CF13CE" w:rsidP="00AF204C">
            <w:pPr>
              <w:pStyle w:val="lfej"/>
            </w:pPr>
            <w:r>
              <w:rPr>
                <w:noProof/>
              </w:rPr>
              <w:drawing>
                <wp:inline distT="0" distB="0" distL="0" distR="0">
                  <wp:extent cx="666750" cy="800100"/>
                  <wp:effectExtent l="19050" t="0" r="0" b="0"/>
                  <wp:docPr id="9" name="Kép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762000" cy="800100"/>
                  <wp:effectExtent l="19050" t="0" r="0" b="0"/>
                  <wp:docPr id="10" name="Kép 1" descr="http://palyazatok.org/wp-content/2009/12/oka_cmy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 descr="http://palyazatok.org/wp-content/2009/12/oka_cmy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9" w:type="dxa"/>
          </w:tcPr>
          <w:p w:rsidR="00CF13CE" w:rsidRPr="00EF5E0E" w:rsidRDefault="00CF13CE" w:rsidP="00AF204C">
            <w:pPr>
              <w:pStyle w:val="lfej"/>
              <w:rPr>
                <w:sz w:val="2"/>
                <w:szCs w:val="2"/>
              </w:rPr>
            </w:pPr>
          </w:p>
          <w:p w:rsidR="00CF13CE" w:rsidRDefault="00CF13CE" w:rsidP="00AF204C">
            <w:pPr>
              <w:pStyle w:val="lfej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66775" cy="771525"/>
                  <wp:effectExtent l="19050" t="0" r="9525" b="0"/>
                  <wp:docPr id="11" name="Kép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0" w:type="dxa"/>
          </w:tcPr>
          <w:p w:rsidR="00CF13CE" w:rsidRDefault="00CF13CE" w:rsidP="00AF204C">
            <w:pPr>
              <w:pStyle w:val="lfej"/>
              <w:jc w:val="center"/>
            </w:pP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1600200" cy="857250"/>
                  <wp:effectExtent l="19050" t="0" r="0" b="0"/>
                  <wp:docPr id="12" name="Kép 42" descr="géniusz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42" descr="géniusz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13CE" w:rsidRDefault="00CF13CE" w:rsidP="00CF13CE">
      <w:pPr>
        <w:jc w:val="center"/>
        <w:rPr>
          <w:rFonts w:ascii="Futura Bk BT" w:hAnsi="Futura Bk BT"/>
          <w:b/>
          <w:color w:val="0C037B"/>
          <w:sz w:val="20"/>
          <w:szCs w:val="20"/>
        </w:rPr>
      </w:pPr>
    </w:p>
    <w:p w:rsidR="00CF13CE" w:rsidRDefault="00CF13CE" w:rsidP="00CF13CE">
      <w:pPr>
        <w:ind w:left="-709" w:right="-711"/>
        <w:jc w:val="center"/>
      </w:pPr>
      <w:r>
        <w:rPr>
          <w:noProof/>
        </w:rPr>
        <w:drawing>
          <wp:inline distT="0" distB="0" distL="0" distR="0">
            <wp:extent cx="1257300" cy="314325"/>
            <wp:effectExtent l="19050" t="0" r="0" b="0"/>
            <wp:docPr id="2" name="Kép 4" descr="http://www.tehetsegprogram.hu/sites/all/files/hir_kepek/NTP_72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 descr="http://www.tehetsegprogram.hu/sites/all/files/hir_kepek/NTP_72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3CE" w:rsidRPr="00A21A1A" w:rsidRDefault="00CF13CE" w:rsidP="00CF13CE">
      <w:pPr>
        <w:jc w:val="center"/>
        <w:rPr>
          <w:rFonts w:ascii="Futura Bk BT" w:hAnsi="Futura Bk BT"/>
          <w:b/>
          <w:color w:val="0C037B"/>
          <w:sz w:val="20"/>
          <w:szCs w:val="20"/>
        </w:rPr>
      </w:pPr>
    </w:p>
    <w:p w:rsidR="00CF13CE" w:rsidRPr="002F4BA6" w:rsidRDefault="00CF13CE" w:rsidP="00CF13CE">
      <w:pPr>
        <w:jc w:val="center"/>
        <w:rPr>
          <w:rFonts w:ascii="Futura Bk BT" w:hAnsi="Futura Bk BT"/>
          <w:b/>
          <w:color w:val="0C037B"/>
          <w:sz w:val="40"/>
          <w:szCs w:val="40"/>
        </w:rPr>
      </w:pPr>
      <w:r>
        <w:rPr>
          <w:rFonts w:ascii="Futura Bk BT" w:hAnsi="Futura Bk BT"/>
          <w:b/>
          <w:color w:val="0C037B"/>
          <w:sz w:val="40"/>
          <w:szCs w:val="40"/>
        </w:rPr>
        <w:t>„FIATAL TÁNCOS ALKOTÓ TEHETSÉGEK BEMUTATÓ SZÍNPADA”</w:t>
      </w:r>
    </w:p>
    <w:p w:rsidR="00CF13CE" w:rsidRDefault="00CF13CE" w:rsidP="00CF13CE">
      <w:pPr>
        <w:jc w:val="center"/>
      </w:pPr>
      <w:r>
        <w:object w:dxaOrig="13140" w:dyaOrig="3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.75pt;height:2in" o:ole="">
            <v:imagedata r:id="rId9" o:title=""/>
          </v:shape>
          <o:OLEObject Type="Embed" ProgID="PBrush" ShapeID="_x0000_i1025" DrawAspect="Content" ObjectID="_1367692223" r:id="rId10"/>
        </w:object>
      </w:r>
    </w:p>
    <w:p w:rsidR="00CF13CE" w:rsidRDefault="00CF13CE" w:rsidP="00CF13CE">
      <w:pPr>
        <w:spacing w:line="276" w:lineRule="auto"/>
        <w:jc w:val="center"/>
      </w:pPr>
    </w:p>
    <w:p w:rsidR="00CF13CE" w:rsidRDefault="00CF13CE" w:rsidP="00CF13CE">
      <w:pPr>
        <w:spacing w:line="276" w:lineRule="auto"/>
        <w:jc w:val="center"/>
      </w:pPr>
    </w:p>
    <w:p w:rsidR="00CF13CE" w:rsidRPr="00F362D2" w:rsidRDefault="00CF13CE" w:rsidP="00CF13CE">
      <w:pPr>
        <w:spacing w:line="276" w:lineRule="auto"/>
        <w:jc w:val="center"/>
        <w:rPr>
          <w:b/>
          <w:sz w:val="28"/>
          <w:szCs w:val="28"/>
        </w:rPr>
      </w:pPr>
      <w:proofErr w:type="gramStart"/>
      <w:r w:rsidRPr="00F362D2">
        <w:rPr>
          <w:b/>
          <w:sz w:val="28"/>
          <w:szCs w:val="28"/>
        </w:rPr>
        <w:t>a</w:t>
      </w:r>
      <w:proofErr w:type="gramEnd"/>
      <w:r w:rsidRPr="00F362D2">
        <w:rPr>
          <w:b/>
          <w:sz w:val="28"/>
          <w:szCs w:val="28"/>
        </w:rPr>
        <w:t xml:space="preserve"> Vásárhelyi Tehetségpont – Régiós Tehetségdiagnosztikai Központ,</w:t>
      </w:r>
    </w:p>
    <w:p w:rsidR="00CF13CE" w:rsidRPr="00F362D2" w:rsidRDefault="00CF13CE" w:rsidP="00CF13CE">
      <w:pPr>
        <w:spacing w:line="276" w:lineRule="auto"/>
        <w:jc w:val="center"/>
        <w:rPr>
          <w:b/>
          <w:sz w:val="28"/>
          <w:szCs w:val="28"/>
        </w:rPr>
      </w:pPr>
      <w:proofErr w:type="gramStart"/>
      <w:r w:rsidRPr="00F362D2">
        <w:rPr>
          <w:b/>
          <w:sz w:val="28"/>
          <w:szCs w:val="28"/>
        </w:rPr>
        <w:t>a</w:t>
      </w:r>
      <w:proofErr w:type="gramEnd"/>
      <w:r w:rsidRPr="00F362D2">
        <w:rPr>
          <w:b/>
          <w:sz w:val="28"/>
          <w:szCs w:val="28"/>
        </w:rPr>
        <w:t xml:space="preserve"> Magyar Tehetségsegítő Szervezetek Szövetsége</w:t>
      </w:r>
    </w:p>
    <w:p w:rsidR="00CF13CE" w:rsidRPr="00F362D2" w:rsidRDefault="00CF13CE" w:rsidP="00CF13CE">
      <w:pPr>
        <w:spacing w:line="276" w:lineRule="auto"/>
        <w:jc w:val="center"/>
        <w:rPr>
          <w:b/>
          <w:sz w:val="28"/>
          <w:szCs w:val="28"/>
        </w:rPr>
      </w:pPr>
      <w:r w:rsidRPr="00F362D2">
        <w:rPr>
          <w:b/>
          <w:sz w:val="28"/>
          <w:szCs w:val="28"/>
        </w:rPr>
        <w:t xml:space="preserve"> </w:t>
      </w:r>
      <w:proofErr w:type="gramStart"/>
      <w:r w:rsidRPr="00F362D2">
        <w:rPr>
          <w:b/>
          <w:sz w:val="28"/>
          <w:szCs w:val="28"/>
        </w:rPr>
        <w:t>és</w:t>
      </w:r>
      <w:proofErr w:type="gramEnd"/>
      <w:r w:rsidRPr="00F362D2">
        <w:rPr>
          <w:b/>
          <w:sz w:val="28"/>
          <w:szCs w:val="28"/>
        </w:rPr>
        <w:t xml:space="preserve"> a Magyar Táncművészeti Főiskola közös rendezvénye</w:t>
      </w:r>
    </w:p>
    <w:p w:rsidR="00CF13CE" w:rsidRDefault="00CF13CE" w:rsidP="00CF13CE">
      <w:pPr>
        <w:spacing w:line="276" w:lineRule="auto"/>
        <w:jc w:val="center"/>
      </w:pPr>
    </w:p>
    <w:p w:rsidR="00CF13CE" w:rsidRDefault="00CF13CE" w:rsidP="00CF13CE">
      <w:pPr>
        <w:spacing w:line="276" w:lineRule="auto"/>
        <w:jc w:val="center"/>
      </w:pPr>
    </w:p>
    <w:p w:rsidR="00CF13CE" w:rsidRDefault="00CF13CE" w:rsidP="00CF13CE">
      <w:pPr>
        <w:jc w:val="center"/>
        <w:rPr>
          <w:rFonts w:ascii="Futura Bk BT" w:hAnsi="Futura Bk BT"/>
          <w:b/>
          <w:color w:val="0C037B"/>
          <w:sz w:val="52"/>
          <w:szCs w:val="52"/>
        </w:rPr>
      </w:pPr>
      <w:r>
        <w:rPr>
          <w:rFonts w:ascii="Futura Bk BT" w:hAnsi="Futura Bk BT"/>
          <w:b/>
          <w:color w:val="0C037B"/>
          <w:sz w:val="52"/>
          <w:szCs w:val="52"/>
        </w:rPr>
        <w:t>2011. május</w:t>
      </w:r>
      <w:r w:rsidRPr="00AF5556">
        <w:rPr>
          <w:rFonts w:ascii="Futura Bk BT" w:hAnsi="Futura Bk BT"/>
          <w:b/>
          <w:color w:val="0C037B"/>
          <w:sz w:val="52"/>
          <w:szCs w:val="52"/>
        </w:rPr>
        <w:t xml:space="preserve"> </w:t>
      </w:r>
      <w:r>
        <w:rPr>
          <w:rFonts w:ascii="Futura Bk BT" w:hAnsi="Futura Bk BT"/>
          <w:b/>
          <w:color w:val="0C037B"/>
          <w:sz w:val="52"/>
          <w:szCs w:val="52"/>
        </w:rPr>
        <w:t>22.</w:t>
      </w:r>
    </w:p>
    <w:p w:rsidR="00CF13CE" w:rsidRDefault="00CF13CE" w:rsidP="00CF13CE">
      <w:pPr>
        <w:jc w:val="center"/>
        <w:rPr>
          <w:rFonts w:ascii="Futura Bk BT" w:hAnsi="Futura Bk BT"/>
          <w:b/>
          <w:color w:val="0C037B"/>
          <w:sz w:val="52"/>
          <w:szCs w:val="52"/>
        </w:rPr>
      </w:pPr>
      <w:r>
        <w:rPr>
          <w:rFonts w:ascii="Futura Bk BT" w:hAnsi="Futura Bk BT"/>
          <w:b/>
          <w:color w:val="0C037B"/>
          <w:sz w:val="52"/>
          <w:szCs w:val="52"/>
        </w:rPr>
        <w:t>13.00</w:t>
      </w:r>
    </w:p>
    <w:p w:rsidR="00CF13CE" w:rsidRPr="00AF5556" w:rsidRDefault="00CF13CE" w:rsidP="00CF13CE">
      <w:pPr>
        <w:jc w:val="center"/>
        <w:rPr>
          <w:rFonts w:ascii="Futura Bk BT" w:hAnsi="Futura Bk BT"/>
          <w:b/>
          <w:color w:val="0C037B"/>
          <w:sz w:val="52"/>
          <w:szCs w:val="52"/>
        </w:rPr>
      </w:pPr>
      <w:r>
        <w:rPr>
          <w:rFonts w:ascii="Futura Bk BT" w:hAnsi="Futura Bk BT"/>
          <w:b/>
          <w:color w:val="0C037B"/>
          <w:sz w:val="52"/>
          <w:szCs w:val="52"/>
        </w:rPr>
        <w:t>HAGYOMÁNYOK HÁZA</w:t>
      </w:r>
    </w:p>
    <w:p w:rsidR="00CF13CE" w:rsidRPr="00A21A1A" w:rsidRDefault="00CF13CE" w:rsidP="00CF13CE">
      <w:pPr>
        <w:spacing w:line="276" w:lineRule="auto"/>
        <w:jc w:val="center"/>
        <w:rPr>
          <w:b/>
          <w:sz w:val="20"/>
          <w:szCs w:val="20"/>
        </w:rPr>
      </w:pPr>
    </w:p>
    <w:p w:rsidR="00CF13CE" w:rsidRPr="00A04690" w:rsidRDefault="00CF13CE" w:rsidP="00CF13CE">
      <w:pPr>
        <w:spacing w:line="276" w:lineRule="auto"/>
        <w:jc w:val="center"/>
        <w:rPr>
          <w:b/>
          <w:color w:val="002060"/>
          <w:sz w:val="28"/>
          <w:szCs w:val="28"/>
        </w:rPr>
      </w:pPr>
      <w:r w:rsidRPr="00A04690">
        <w:rPr>
          <w:b/>
          <w:color w:val="002060"/>
          <w:sz w:val="28"/>
          <w:szCs w:val="28"/>
        </w:rPr>
        <w:t>Budapest, Corvin tér 8.</w:t>
      </w:r>
    </w:p>
    <w:p w:rsidR="00CF13CE" w:rsidRDefault="00CF13CE" w:rsidP="00CF13CE">
      <w:pPr>
        <w:spacing w:line="276" w:lineRule="auto"/>
        <w:rPr>
          <w:b/>
        </w:rPr>
      </w:pPr>
    </w:p>
    <w:p w:rsidR="00CF13CE" w:rsidRDefault="00CF13CE" w:rsidP="00CF13CE"/>
    <w:p w:rsidR="00CF13CE" w:rsidRDefault="00CF13CE" w:rsidP="00CF13CE"/>
    <w:p w:rsidR="00CF13CE" w:rsidRDefault="00CF13CE" w:rsidP="00CF13CE"/>
    <w:p w:rsidR="00597766" w:rsidRDefault="00CF13CE" w:rsidP="00CF13CE">
      <w:pPr>
        <w:jc w:val="center"/>
        <w:rPr>
          <w:b/>
          <w:sz w:val="28"/>
          <w:szCs w:val="28"/>
        </w:rPr>
      </w:pPr>
      <w:r w:rsidRPr="00BB53AE">
        <w:rPr>
          <w:b/>
          <w:sz w:val="28"/>
          <w:szCs w:val="28"/>
        </w:rPr>
        <w:t xml:space="preserve">A PROGRAM AZ OKTATÁSÉRT KÖZALAPÍTVÁNY NTP-OKA XVIII PÁLYÁZATA </w:t>
      </w:r>
      <w:proofErr w:type="gramStart"/>
      <w:r w:rsidRPr="00BB53AE">
        <w:rPr>
          <w:b/>
          <w:sz w:val="28"/>
          <w:szCs w:val="28"/>
        </w:rPr>
        <w:t>ÉS</w:t>
      </w:r>
      <w:proofErr w:type="gramEnd"/>
      <w:r w:rsidRPr="00BB53AE">
        <w:rPr>
          <w:b/>
          <w:sz w:val="28"/>
          <w:szCs w:val="28"/>
        </w:rPr>
        <w:t xml:space="preserve"> A MAGYAR GÉNIUSZ PROGRAM</w:t>
      </w:r>
    </w:p>
    <w:p w:rsidR="00CF13CE" w:rsidRDefault="00CF13CE" w:rsidP="00CF13CE">
      <w:pPr>
        <w:jc w:val="center"/>
      </w:pPr>
      <w:r w:rsidRPr="00BB53AE">
        <w:rPr>
          <w:b/>
          <w:sz w:val="28"/>
          <w:szCs w:val="28"/>
        </w:rPr>
        <w:t>TÁMOGATÁSÁVAL VALÓSUL</w:t>
      </w:r>
      <w:r>
        <w:rPr>
          <w:b/>
          <w:sz w:val="28"/>
          <w:szCs w:val="28"/>
        </w:rPr>
        <w:t>T</w:t>
      </w:r>
      <w:r w:rsidRPr="00BB53AE">
        <w:rPr>
          <w:b/>
          <w:sz w:val="28"/>
          <w:szCs w:val="28"/>
        </w:rPr>
        <w:t xml:space="preserve"> MEG</w:t>
      </w:r>
    </w:p>
    <w:sectPr w:rsidR="00CF13CE" w:rsidSect="005977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 Bk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proofState w:spelling="clean" w:grammar="clean"/>
  <w:defaultTabStop w:val="708"/>
  <w:hyphenationZone w:val="425"/>
  <w:characterSpacingControl w:val="doNotCompress"/>
  <w:compat/>
  <w:rsids>
    <w:rsidRoot w:val="00CF13CE"/>
    <w:rsid w:val="00597766"/>
    <w:rsid w:val="00CF13CE"/>
    <w:rsid w:val="00F11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F1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F13C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F13CE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rsid w:val="00CF13C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CF13CE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386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Demarcsek Zsuzsa</dc:creator>
  <cp:keywords/>
  <dc:description/>
  <cp:lastModifiedBy/>
  <cp:revision>1</cp:revision>
  <dcterms:created xsi:type="dcterms:W3CDTF">2011-05-23T19:43:00Z</dcterms:created>
</cp:coreProperties>
</file>